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9 (Minimum Standards of Reliability)</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Standards</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Call-Off Contract with an anticipated contract value in excess of £20 million (excluding VAT) shall be awarded to the Supplier if it does not show that it meets the minimum standards of reliability as set out in the OJEU Notice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(“Minimum Standards of Reliability”)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time of the proposed award of that Call-Off Contract. </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assess the Supplier’s compliance with the Minimum Standards of Reliability:</w:t>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the request of any Buyer; or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whenever it considers (in its absolute discretion) that it is appropriate to do so. </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1.3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Supplier does not demonstrate that it meets the Minimum Standards of Reliability in an assessment carried out pursuant to Paragraph</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 CCS shall so notify the Supplier (and any Buyer in writing) and the CCS reserves the right to terminate its Framework Contract for material Default under Clause 10.4 (When CCS or the Buyer can end this contract).</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9">
      <w:pPr>
        <w:tabs>
          <w:tab w:val="left" w:pos="2440"/>
        </w:tabs>
        <w:rPr/>
      </w:pPr>
      <w:bookmarkStart w:colFirst="0" w:colLast="0" w:name="_30j0zll" w:id="0"/>
      <w:bookmarkEnd w:id="0"/>
      <w:r w:rsidDel="00000000" w:rsidR="00000000" w:rsidRPr="00000000">
        <w:rPr>
          <w:rtl w:val="0"/>
        </w:rPr>
      </w:r>
    </w:p>
    <w:sectPr>
      <w:headerReference r:id="rId6" w:type="default"/>
      <w:footerReference r:id="rId7"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RM6168 – Estate Management Services</w:t>
      <w:tab/>
      <w:t xml:space="preserve">                                           </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0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v3.3</w:t>
      <w:tab/>
      <w:tab/>
    </w:r>
    <w:r w:rsidDel="00000000" w:rsidR="00000000" w:rsidRPr="00000000">
      <w:rPr>
        <w:rFonts w:ascii="Arial" w:cs="Arial" w:eastAsia="Arial" w:hAnsi="Arial"/>
        <w:color w:val="bfbfbf"/>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(Minimum Standards of Reliability)</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20</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